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E0BC4B" w14:textId="643D38ED" w:rsidR="00E90E49" w:rsidRPr="00D96565" w:rsidRDefault="00E90E49" w:rsidP="00E35559">
      <w:pPr>
        <w:pStyle w:val="3GPPHeader"/>
        <w:spacing w:after="60"/>
        <w:rPr>
          <w:sz w:val="32"/>
          <w:szCs w:val="32"/>
          <w:highlight w:val="yellow"/>
          <w:lang w:val="en-GB"/>
        </w:rPr>
      </w:pPr>
      <w:r w:rsidRPr="00D96565">
        <w:rPr>
          <w:lang w:val="en-GB"/>
        </w:rPr>
        <w:t>3GPP TSG-RAN WG</w:t>
      </w:r>
      <w:r w:rsidR="007730BD" w:rsidRPr="00D96565">
        <w:rPr>
          <w:lang w:val="en-GB"/>
        </w:rPr>
        <w:t>2</w:t>
      </w:r>
      <w:r w:rsidRPr="00D96565">
        <w:rPr>
          <w:lang w:val="en-GB"/>
        </w:rPr>
        <w:t xml:space="preserve"> #</w:t>
      </w:r>
      <w:r w:rsidR="00AE3743" w:rsidRPr="00D96565">
        <w:rPr>
          <w:lang w:val="en-GB"/>
        </w:rPr>
        <w:t>9</w:t>
      </w:r>
      <w:r w:rsidR="00011DAF" w:rsidRPr="00D96565">
        <w:rPr>
          <w:lang w:val="en-GB"/>
        </w:rPr>
        <w:t>8</w:t>
      </w:r>
      <w:r w:rsidRPr="00D96565">
        <w:rPr>
          <w:lang w:val="en-GB"/>
        </w:rPr>
        <w:tab/>
      </w:r>
      <w:r w:rsidRPr="00D96565">
        <w:rPr>
          <w:sz w:val="32"/>
          <w:szCs w:val="32"/>
          <w:lang w:val="en-GB"/>
        </w:rPr>
        <w:t xml:space="preserve">Tdoc </w:t>
      </w:r>
      <w:r w:rsidR="00091557" w:rsidRPr="00D96565">
        <w:rPr>
          <w:sz w:val="32"/>
          <w:szCs w:val="32"/>
          <w:lang w:val="en-GB"/>
        </w:rPr>
        <w:t>R2-</w:t>
      </w:r>
      <w:r w:rsidR="005F3025" w:rsidRPr="00D96565">
        <w:rPr>
          <w:sz w:val="32"/>
          <w:szCs w:val="32"/>
          <w:lang w:val="en-GB"/>
        </w:rPr>
        <w:t>1</w:t>
      </w:r>
      <w:r w:rsidR="000039F4" w:rsidRPr="00D96565">
        <w:rPr>
          <w:sz w:val="32"/>
          <w:szCs w:val="32"/>
          <w:lang w:val="en-GB"/>
        </w:rPr>
        <w:t>7</w:t>
      </w:r>
      <w:r w:rsidR="00B44A48" w:rsidRPr="00D96565">
        <w:rPr>
          <w:sz w:val="32"/>
          <w:szCs w:val="32"/>
          <w:lang w:val="en-GB"/>
        </w:rPr>
        <w:t>04419</w:t>
      </w:r>
    </w:p>
    <w:p w14:paraId="4DA475D1" w14:textId="0617E584" w:rsidR="00E90E49" w:rsidRPr="00D96565" w:rsidRDefault="00A61B71" w:rsidP="00311702">
      <w:pPr>
        <w:pStyle w:val="3GPPHeader"/>
        <w:rPr>
          <w:lang w:val="en-GB"/>
        </w:rPr>
      </w:pPr>
      <w:r>
        <w:rPr>
          <w:lang w:val="en-GB"/>
        </w:rPr>
        <w:t>Hangz</w:t>
      </w:r>
      <w:r w:rsidR="00011DAF" w:rsidRPr="00D96565">
        <w:rPr>
          <w:lang w:val="en-GB"/>
        </w:rPr>
        <w:t>hou</w:t>
      </w:r>
      <w:r w:rsidR="00AE3743" w:rsidRPr="00D96565">
        <w:rPr>
          <w:lang w:val="en-GB"/>
        </w:rPr>
        <w:t xml:space="preserve">, </w:t>
      </w:r>
      <w:r w:rsidR="00011DAF" w:rsidRPr="00D96565">
        <w:rPr>
          <w:lang w:val="en-GB"/>
        </w:rPr>
        <w:t>China</w:t>
      </w:r>
      <w:r w:rsidR="00AE3743" w:rsidRPr="00D96565">
        <w:rPr>
          <w:lang w:val="en-GB"/>
        </w:rPr>
        <w:t xml:space="preserve">, </w:t>
      </w:r>
      <w:r w:rsidR="00011DAF" w:rsidRPr="00D96565">
        <w:rPr>
          <w:lang w:val="en-GB"/>
        </w:rPr>
        <w:t>15</w:t>
      </w:r>
      <w:r w:rsidR="00011DAF" w:rsidRPr="00D96565">
        <w:rPr>
          <w:vertAlign w:val="superscript"/>
          <w:lang w:val="en-GB"/>
        </w:rPr>
        <w:t>th</w:t>
      </w:r>
      <w:r w:rsidR="00AE3743" w:rsidRPr="00D96565">
        <w:rPr>
          <w:lang w:val="en-GB"/>
        </w:rPr>
        <w:t xml:space="preserve"> – </w:t>
      </w:r>
      <w:r w:rsidR="00011DAF" w:rsidRPr="00D96565">
        <w:rPr>
          <w:lang w:val="en-GB"/>
        </w:rPr>
        <w:t>19</w:t>
      </w:r>
      <w:r w:rsidR="00AE3743" w:rsidRPr="00D96565">
        <w:rPr>
          <w:vertAlign w:val="superscript"/>
          <w:lang w:val="en-GB"/>
        </w:rPr>
        <w:t>th</w:t>
      </w:r>
      <w:r w:rsidR="00AE3743" w:rsidRPr="00D96565">
        <w:rPr>
          <w:lang w:val="en-GB"/>
        </w:rPr>
        <w:t xml:space="preserve"> April 2017</w:t>
      </w:r>
    </w:p>
    <w:p w14:paraId="353AFFD0" w14:textId="02A66882" w:rsidR="00E90E49" w:rsidRPr="007730BD" w:rsidRDefault="00E90E49" w:rsidP="00311702">
      <w:pPr>
        <w:pStyle w:val="3GPPHeader"/>
        <w:rPr>
          <w:sz w:val="22"/>
          <w:lang w:val="sv-SE"/>
        </w:rPr>
      </w:pPr>
      <w:r w:rsidRPr="007730BD">
        <w:rPr>
          <w:sz w:val="22"/>
          <w:lang w:val="sv-SE"/>
        </w:rPr>
        <w:t>Agenda Item:</w:t>
      </w:r>
      <w:r w:rsidRPr="007730BD">
        <w:rPr>
          <w:sz w:val="22"/>
          <w:lang w:val="sv-SE"/>
        </w:rPr>
        <w:tab/>
      </w:r>
      <w:r w:rsidR="00B44A48">
        <w:rPr>
          <w:sz w:val="22"/>
          <w:lang w:val="sv-SE"/>
        </w:rPr>
        <w:t>10.2.3</w:t>
      </w:r>
    </w:p>
    <w:p w14:paraId="3374ADB9" w14:textId="77777777" w:rsidR="00E90E49" w:rsidRPr="00D96565" w:rsidRDefault="003D3C45" w:rsidP="00F64C2B">
      <w:pPr>
        <w:pStyle w:val="3GPPHeader"/>
        <w:rPr>
          <w:sz w:val="22"/>
          <w:lang w:val="en-GB"/>
        </w:rPr>
      </w:pPr>
      <w:r w:rsidRPr="00D96565">
        <w:rPr>
          <w:sz w:val="22"/>
          <w:lang w:val="en-GB"/>
        </w:rPr>
        <w:t>Source:</w:t>
      </w:r>
      <w:r w:rsidR="00E90E49" w:rsidRPr="00D96565">
        <w:rPr>
          <w:sz w:val="22"/>
          <w:lang w:val="en-GB"/>
        </w:rPr>
        <w:tab/>
      </w:r>
      <w:r w:rsidR="00F64C2B" w:rsidRPr="00D96565">
        <w:rPr>
          <w:sz w:val="22"/>
          <w:lang w:val="en-GB"/>
        </w:rPr>
        <w:t>Ericsson</w:t>
      </w:r>
    </w:p>
    <w:p w14:paraId="1E395FE9" w14:textId="3B1CAF6C" w:rsidR="00E90E49" w:rsidRPr="00D96565" w:rsidRDefault="003D3C45" w:rsidP="00311702">
      <w:pPr>
        <w:pStyle w:val="3GPPHeader"/>
        <w:rPr>
          <w:sz w:val="22"/>
          <w:lang w:val="en-GB"/>
        </w:rPr>
      </w:pPr>
      <w:r w:rsidRPr="00D96565">
        <w:rPr>
          <w:sz w:val="22"/>
          <w:lang w:val="en-GB"/>
        </w:rPr>
        <w:t>Title:</w:t>
      </w:r>
      <w:r w:rsidR="00E90E49" w:rsidRPr="00D96565">
        <w:rPr>
          <w:sz w:val="22"/>
          <w:lang w:val="en-GB"/>
        </w:rPr>
        <w:tab/>
      </w:r>
      <w:r w:rsidR="00011DAF" w:rsidRPr="00D96565">
        <w:rPr>
          <w:sz w:val="22"/>
          <w:lang w:val="en-GB"/>
        </w:rPr>
        <w:t>Measurement framework in case of EN-DC</w:t>
      </w:r>
    </w:p>
    <w:p w14:paraId="1A212EFC" w14:textId="77777777" w:rsidR="00E90E49" w:rsidRPr="00AF68E1" w:rsidRDefault="00E90E49" w:rsidP="00D546FF">
      <w:pPr>
        <w:pStyle w:val="3GPPHeader"/>
        <w:rPr>
          <w:sz w:val="22"/>
        </w:rPr>
      </w:pPr>
      <w:r w:rsidRPr="00AF68E1">
        <w:rPr>
          <w:sz w:val="22"/>
        </w:rPr>
        <w:t>Document for:</w:t>
      </w:r>
      <w:r w:rsidRPr="00AF68E1">
        <w:rPr>
          <w:sz w:val="22"/>
        </w:rPr>
        <w:tab/>
      </w:r>
      <w:r w:rsidRPr="00A61B71">
        <w:rPr>
          <w:sz w:val="22"/>
        </w:rPr>
        <w:t>Discussion, Decision</w:t>
      </w:r>
    </w:p>
    <w:p w14:paraId="514EF6FC" w14:textId="77777777" w:rsidR="00C24345" w:rsidRDefault="00E90E49" w:rsidP="00A2052C">
      <w:pPr>
        <w:pStyle w:val="Heading1"/>
      </w:pPr>
      <w:r w:rsidRPr="00CE0424">
        <w:t>Introduction</w:t>
      </w:r>
    </w:p>
    <w:p w14:paraId="5D660EB7" w14:textId="676AC00E" w:rsidR="00A2052C" w:rsidRPr="00D96565" w:rsidRDefault="003E21B1" w:rsidP="00011DAF">
      <w:pPr>
        <w:jc w:val="both"/>
        <w:rPr>
          <w:lang w:val="en-GB"/>
        </w:rPr>
      </w:pPr>
      <w:r w:rsidRPr="00D96565">
        <w:rPr>
          <w:lang w:val="en-GB"/>
        </w:rPr>
        <w:t xml:space="preserve">In RAN2#97bis, it has been agreed to have an email discussion on the measurement framework on LTE-NR DC. </w:t>
      </w:r>
      <w:bookmarkStart w:id="0" w:name="_GoBack"/>
      <w:bookmarkEnd w:id="0"/>
    </w:p>
    <w:p w14:paraId="5C362B43" w14:textId="77777777" w:rsidR="003E21B1" w:rsidRPr="00D96565" w:rsidRDefault="003E21B1" w:rsidP="003E21B1">
      <w:pPr>
        <w:pStyle w:val="B1"/>
        <w:rPr>
          <w:i/>
          <w:noProof/>
          <w:lang w:val="en-GB"/>
        </w:rPr>
      </w:pPr>
      <w:r w:rsidRPr="00D96565">
        <w:rPr>
          <w:i/>
          <w:noProof/>
          <w:lang w:val="en-GB"/>
        </w:rPr>
        <w:t>[97bis#10][NR] MN/SN measurement coordination (DOCOMO)</w:t>
      </w:r>
    </w:p>
    <w:p w14:paraId="25268D99" w14:textId="77777777" w:rsidR="003E21B1" w:rsidRPr="00D96565" w:rsidRDefault="003E21B1" w:rsidP="003E21B1">
      <w:pPr>
        <w:pStyle w:val="B2"/>
        <w:rPr>
          <w:i/>
          <w:lang w:val="en-GB" w:eastAsia="en-GB"/>
        </w:rPr>
      </w:pPr>
      <w:r w:rsidRPr="00D96565">
        <w:rPr>
          <w:rFonts w:hint="eastAsia"/>
          <w:i/>
          <w:lang w:val="en-GB" w:eastAsia="ja-JP"/>
        </w:rPr>
        <w:t>-</w:t>
      </w:r>
      <w:r w:rsidRPr="00D96565">
        <w:rPr>
          <w:rFonts w:hint="eastAsia"/>
          <w:i/>
          <w:lang w:val="en-GB" w:eastAsia="ja-JP"/>
        </w:rPr>
        <w:tab/>
      </w:r>
      <w:r w:rsidRPr="00D96565">
        <w:rPr>
          <w:i/>
          <w:lang w:val="en-GB" w:eastAsia="en-GB"/>
        </w:rPr>
        <w:t xml:space="preserve">Discuss measurement framework for LTE-NR DC with goal to </w:t>
      </w:r>
      <w:r w:rsidRPr="00D96565">
        <w:rPr>
          <w:i/>
          <w:u w:val="single"/>
          <w:lang w:val="en-GB" w:eastAsia="en-GB"/>
        </w:rPr>
        <w:t>identity potential options and build a common understanding on each option</w:t>
      </w:r>
      <w:r w:rsidRPr="00D96565">
        <w:rPr>
          <w:i/>
          <w:lang w:val="en-GB" w:eastAsia="en-GB"/>
        </w:rPr>
        <w:t>. Aim is to decide the measurement framework option for LTE-NR DC at next meeting.</w:t>
      </w:r>
    </w:p>
    <w:p w14:paraId="08E57FF6" w14:textId="45519B89" w:rsidR="003E21B1" w:rsidRPr="00D96565" w:rsidRDefault="003E21B1" w:rsidP="00011DAF">
      <w:pPr>
        <w:jc w:val="both"/>
        <w:rPr>
          <w:lang w:val="en-GB"/>
        </w:rPr>
      </w:pPr>
      <w:r w:rsidRPr="00D96565">
        <w:rPr>
          <w:lang w:val="en-GB"/>
        </w:rPr>
        <w:t xml:space="preserve">Two alternatives </w:t>
      </w:r>
      <w:r w:rsidR="00011DAF" w:rsidRPr="00D96565">
        <w:rPr>
          <w:lang w:val="en-GB"/>
        </w:rPr>
        <w:t xml:space="preserve">with variants </w:t>
      </w:r>
      <w:r w:rsidRPr="00D96565">
        <w:rPr>
          <w:lang w:val="en-GB"/>
        </w:rPr>
        <w:t>ha</w:t>
      </w:r>
      <w:r w:rsidR="00011DAF" w:rsidRPr="00D96565">
        <w:rPr>
          <w:lang w:val="en-GB"/>
        </w:rPr>
        <w:t>ve</w:t>
      </w:r>
      <w:r w:rsidRPr="00D96565">
        <w:rPr>
          <w:lang w:val="en-GB"/>
        </w:rPr>
        <w:t xml:space="preserve"> been listed in email discussion. In below, we will discuss the pros and cons for different alternatives and then which one is more suitable</w:t>
      </w:r>
      <w:r w:rsidR="00011DAF" w:rsidRPr="00D96565">
        <w:rPr>
          <w:lang w:val="en-GB"/>
        </w:rPr>
        <w:t xml:space="preserve"> for measurement configuration for EN-DC.</w:t>
      </w:r>
    </w:p>
    <w:p w14:paraId="2F4F7546" w14:textId="77777777" w:rsidR="004000E8" w:rsidRDefault="004000E8" w:rsidP="00CE0424">
      <w:pPr>
        <w:pStyle w:val="Heading1"/>
      </w:pPr>
      <w:bookmarkStart w:id="1" w:name="_Ref178064866"/>
      <w:r w:rsidRPr="00CE0424">
        <w:t>Discussion</w:t>
      </w:r>
      <w:bookmarkEnd w:id="1"/>
    </w:p>
    <w:p w14:paraId="3E43544A" w14:textId="13F69711" w:rsidR="00D64193" w:rsidRPr="00D96565" w:rsidRDefault="00D64193" w:rsidP="00D64193">
      <w:pPr>
        <w:rPr>
          <w:lang w:val="en-GB"/>
        </w:rPr>
      </w:pPr>
      <w:r w:rsidRPr="00D96565">
        <w:rPr>
          <w:lang w:val="en-GB"/>
        </w:rPr>
        <w:t>There are two options listed in the email discussion.</w:t>
      </w:r>
    </w:p>
    <w:p w14:paraId="51CCA347" w14:textId="77777777" w:rsidR="00D64193" w:rsidRPr="00D96565" w:rsidRDefault="00D64193" w:rsidP="00D64193">
      <w:pPr>
        <w:pStyle w:val="B1"/>
        <w:rPr>
          <w:lang w:val="en-GB"/>
        </w:rPr>
      </w:pPr>
      <w:r w:rsidRPr="00D96565">
        <w:rPr>
          <w:rFonts w:hint="eastAsia"/>
          <w:b/>
          <w:lang w:val="en-GB"/>
        </w:rPr>
        <w:t>Option 1:</w:t>
      </w:r>
      <w:r w:rsidRPr="00D96565">
        <w:rPr>
          <w:rFonts w:hint="eastAsia"/>
          <w:lang w:val="en-GB"/>
        </w:rPr>
        <w:tab/>
      </w:r>
      <w:r w:rsidRPr="00D96565">
        <w:rPr>
          <w:rFonts w:hint="eastAsia"/>
          <w:lang w:val="en-GB"/>
        </w:rPr>
        <w:tab/>
        <w:t>Independent configuration between MCG and SCG;</w:t>
      </w:r>
    </w:p>
    <w:p w14:paraId="32A0AA38" w14:textId="1A2004AB" w:rsidR="00D64193" w:rsidRPr="00D96565" w:rsidRDefault="00D64193" w:rsidP="00D64193">
      <w:pPr>
        <w:pStyle w:val="B1"/>
        <w:rPr>
          <w:lang w:val="en-GB"/>
        </w:rPr>
      </w:pPr>
      <w:r w:rsidRPr="00D96565">
        <w:rPr>
          <w:rFonts w:hint="eastAsia"/>
          <w:b/>
          <w:lang w:val="en-GB"/>
        </w:rPr>
        <w:t>Option 2:</w:t>
      </w:r>
      <w:r w:rsidRPr="00D96565">
        <w:rPr>
          <w:rFonts w:hint="eastAsia"/>
          <w:lang w:val="en-GB"/>
        </w:rPr>
        <w:tab/>
      </w:r>
      <w:r w:rsidRPr="00D96565">
        <w:rPr>
          <w:rFonts w:hint="eastAsia"/>
          <w:lang w:val="en-GB"/>
        </w:rPr>
        <w:tab/>
        <w:t>Common configuration to MCG and SCG;</w:t>
      </w:r>
    </w:p>
    <w:p w14:paraId="0F85C695" w14:textId="14A9709C" w:rsidR="00D64193" w:rsidRPr="00D96565" w:rsidRDefault="00D64193" w:rsidP="00D64193">
      <w:pPr>
        <w:pStyle w:val="B1"/>
        <w:ind w:left="0" w:firstLine="0"/>
        <w:rPr>
          <w:lang w:val="en-GB"/>
        </w:rPr>
      </w:pPr>
      <w:r w:rsidRPr="00D96565">
        <w:rPr>
          <w:lang w:val="en-GB"/>
        </w:rPr>
        <w:t xml:space="preserve">The overview of option 1 is as shown in </w:t>
      </w:r>
      <w:r w:rsidR="00B44A48" w:rsidRPr="00D96565">
        <w:rPr>
          <w:lang w:val="en-GB"/>
        </w:rPr>
        <w:t>F</w:t>
      </w:r>
      <w:r w:rsidRPr="00D96565">
        <w:rPr>
          <w:lang w:val="en-GB"/>
        </w:rPr>
        <w:t xml:space="preserve">igure </w:t>
      </w:r>
      <w:r w:rsidR="00B44A48" w:rsidRPr="00D96565">
        <w:rPr>
          <w:lang w:val="en-GB"/>
        </w:rPr>
        <w:t xml:space="preserve">1 </w:t>
      </w:r>
      <w:r w:rsidRPr="00D96565">
        <w:rPr>
          <w:lang w:val="en-GB"/>
        </w:rPr>
        <w:t>below</w:t>
      </w:r>
    </w:p>
    <w:p w14:paraId="2EA37DCE" w14:textId="77777777" w:rsidR="00AF0236" w:rsidRDefault="00D64193" w:rsidP="00AF0236">
      <w:pPr>
        <w:pStyle w:val="B1"/>
        <w:keepNext/>
        <w:ind w:left="0" w:firstLine="0"/>
      </w:pPr>
      <w:r>
        <w:rPr>
          <w:lang w:eastAsia="ja-JP"/>
        </w:rPr>
        <w:object w:dxaOrig="5377" w:dyaOrig="2946" w14:anchorId="0EECB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77.75pt" o:ole="">
            <v:imagedata r:id="rId14" o:title=""/>
          </v:shape>
          <o:OLEObject Type="Embed" ProgID="Visio.Drawing.11" ShapeID="_x0000_i1025" DrawAspect="Content" ObjectID="_1555539030" r:id="rId15"/>
        </w:object>
      </w:r>
    </w:p>
    <w:p w14:paraId="1C327059" w14:textId="15AE6CF4" w:rsidR="00D64193" w:rsidRPr="00D96565" w:rsidRDefault="00AF0236" w:rsidP="00AF0236">
      <w:pPr>
        <w:pStyle w:val="Caption"/>
        <w:jc w:val="left"/>
        <w:rPr>
          <w:lang w:val="en-GB" w:eastAsia="ja-JP"/>
        </w:rPr>
      </w:pPr>
      <w:r w:rsidRPr="00D96565">
        <w:rPr>
          <w:lang w:val="en-GB"/>
        </w:rPr>
        <w:t xml:space="preserve">Figure </w:t>
      </w:r>
      <w:r w:rsidR="009641A0">
        <w:fldChar w:fldCharType="begin"/>
      </w:r>
      <w:r w:rsidR="009641A0" w:rsidRPr="00D96565">
        <w:rPr>
          <w:lang w:val="en-GB"/>
        </w:rPr>
        <w:instrText xml:space="preserve"> SEQ Figure \* ARABIC </w:instrText>
      </w:r>
      <w:r w:rsidR="009641A0">
        <w:fldChar w:fldCharType="separate"/>
      </w:r>
      <w:r w:rsidR="001179B1" w:rsidRPr="00D96565">
        <w:rPr>
          <w:noProof/>
          <w:lang w:val="en-GB"/>
        </w:rPr>
        <w:t>1</w:t>
      </w:r>
      <w:r w:rsidR="009641A0">
        <w:rPr>
          <w:noProof/>
        </w:rPr>
        <w:fldChar w:fldCharType="end"/>
      </w:r>
      <w:r w:rsidRPr="00D96565">
        <w:rPr>
          <w:lang w:val="en-GB"/>
        </w:rPr>
        <w:t xml:space="preserve"> Option 1 Independent configuration between MCG and SCG</w:t>
      </w:r>
    </w:p>
    <w:p w14:paraId="094C34FB" w14:textId="391E09E2" w:rsidR="001C2C5C" w:rsidRPr="00D96565" w:rsidRDefault="00D64193" w:rsidP="00011DAF">
      <w:pPr>
        <w:jc w:val="both"/>
        <w:rPr>
          <w:lang w:val="en-GB" w:eastAsia="ja-JP"/>
        </w:rPr>
      </w:pPr>
      <w:r w:rsidRPr="00D96565">
        <w:rPr>
          <w:rFonts w:hint="eastAsia"/>
          <w:lang w:val="en-GB" w:eastAsia="ja-JP"/>
        </w:rPr>
        <w:t>In this option, the measurement configuration (objects, report configurations, IDs) is provided by M</w:t>
      </w:r>
      <w:r w:rsidRPr="00D96565">
        <w:rPr>
          <w:lang w:val="en-GB" w:eastAsia="ja-JP"/>
        </w:rPr>
        <w:t>eNB</w:t>
      </w:r>
      <w:r w:rsidRPr="00D96565">
        <w:rPr>
          <w:rFonts w:hint="eastAsia"/>
          <w:lang w:val="en-GB" w:eastAsia="ja-JP"/>
        </w:rPr>
        <w:t xml:space="preserve"> and S</w:t>
      </w:r>
      <w:r w:rsidRPr="00D96565">
        <w:rPr>
          <w:lang w:val="en-GB" w:eastAsia="ja-JP"/>
        </w:rPr>
        <w:t>gNB</w:t>
      </w:r>
      <w:r w:rsidRPr="00D96565">
        <w:rPr>
          <w:rFonts w:hint="eastAsia"/>
          <w:lang w:val="en-GB" w:eastAsia="ja-JP"/>
        </w:rPr>
        <w:t xml:space="preserve"> independently</w:t>
      </w:r>
      <w:r w:rsidR="001C2C5C" w:rsidRPr="00D96565">
        <w:rPr>
          <w:lang w:val="en-GB" w:eastAsia="ja-JP"/>
        </w:rPr>
        <w:t xml:space="preserve"> to UE</w:t>
      </w:r>
      <w:r w:rsidRPr="00D96565">
        <w:rPr>
          <w:rFonts w:hint="eastAsia"/>
          <w:lang w:val="en-GB" w:eastAsia="ja-JP"/>
        </w:rPr>
        <w:t>. As illustrated in Figure 1, the M</w:t>
      </w:r>
      <w:r w:rsidR="001C2C5C" w:rsidRPr="00D96565">
        <w:rPr>
          <w:lang w:val="en-GB" w:eastAsia="ja-JP"/>
        </w:rPr>
        <w:t>eNB</w:t>
      </w:r>
      <w:r w:rsidRPr="00D96565">
        <w:rPr>
          <w:rFonts w:hint="eastAsia"/>
          <w:lang w:val="en-GB" w:eastAsia="ja-JP"/>
        </w:rPr>
        <w:t xml:space="preserve"> builds and provides the UE with the MCG part of </w:t>
      </w:r>
      <w:r w:rsidRPr="00D96565">
        <w:rPr>
          <w:lang w:val="en-GB" w:eastAsia="ja-JP"/>
        </w:rPr>
        <w:t>measurement</w:t>
      </w:r>
      <w:r w:rsidRPr="00D96565">
        <w:rPr>
          <w:rFonts w:hint="eastAsia"/>
          <w:lang w:val="en-GB" w:eastAsia="ja-JP"/>
        </w:rPr>
        <w:t xml:space="preserve"> configuration using LTE RRC. In this measurement configuration, the MCG cells (LTE) are regarded as serving cells </w:t>
      </w:r>
      <w:r w:rsidRPr="00D96565">
        <w:rPr>
          <w:lang w:val="en-GB" w:eastAsia="ja-JP"/>
        </w:rPr>
        <w:t>and</w:t>
      </w:r>
      <w:r w:rsidRPr="00D96565">
        <w:rPr>
          <w:rFonts w:hint="eastAsia"/>
          <w:lang w:val="en-GB" w:eastAsia="ja-JP"/>
        </w:rPr>
        <w:t xml:space="preserve"> the other cells including the SCG cells (NR) are regarded as (inter-RAT) </w:t>
      </w:r>
      <w:r w:rsidRPr="00D96565">
        <w:rPr>
          <w:lang w:val="en-GB" w:eastAsia="ja-JP"/>
        </w:rPr>
        <w:t>neighbour</w:t>
      </w:r>
      <w:r w:rsidRPr="00D96565">
        <w:rPr>
          <w:rFonts w:hint="eastAsia"/>
          <w:lang w:val="en-GB" w:eastAsia="ja-JP"/>
        </w:rPr>
        <w:t xml:space="preserve"> cells. Measurement results associated with the measurement ID provided by the M</w:t>
      </w:r>
      <w:r w:rsidR="001C2C5C" w:rsidRPr="00D96565">
        <w:rPr>
          <w:lang w:val="en-GB" w:eastAsia="ja-JP"/>
        </w:rPr>
        <w:t>eNB</w:t>
      </w:r>
      <w:r w:rsidRPr="00D96565">
        <w:rPr>
          <w:rFonts w:hint="eastAsia"/>
          <w:lang w:val="en-GB" w:eastAsia="ja-JP"/>
        </w:rPr>
        <w:t xml:space="preserve"> is reported to the M</w:t>
      </w:r>
      <w:r w:rsidR="001C2C5C" w:rsidRPr="00D96565">
        <w:rPr>
          <w:lang w:val="en-GB" w:eastAsia="ja-JP"/>
        </w:rPr>
        <w:t>eNB</w:t>
      </w:r>
      <w:r w:rsidRPr="00D96565">
        <w:rPr>
          <w:rFonts w:hint="eastAsia"/>
          <w:lang w:val="en-GB" w:eastAsia="ja-JP"/>
        </w:rPr>
        <w:t xml:space="preserve"> only using the LTE Measurement Report message. Likewise, the S</w:t>
      </w:r>
      <w:r w:rsidR="001C2C5C" w:rsidRPr="00D96565">
        <w:rPr>
          <w:lang w:val="en-GB" w:eastAsia="ja-JP"/>
        </w:rPr>
        <w:t>gNB</w:t>
      </w:r>
      <w:r w:rsidRPr="00D96565">
        <w:rPr>
          <w:rFonts w:hint="eastAsia"/>
          <w:lang w:val="en-GB" w:eastAsia="ja-JP"/>
        </w:rPr>
        <w:t xml:space="preserve"> builds and provides the UE with the SCG part of configuration using NR RRC. In this measurement configuration, the SCG cells (NR) are regarded as serving cells and the other cells including the MCG cells (LTE) are regarded as (inter-RAT) </w:t>
      </w:r>
      <w:r w:rsidRPr="00D96565">
        <w:rPr>
          <w:lang w:val="en-GB" w:eastAsia="ja-JP"/>
        </w:rPr>
        <w:t>neighbour</w:t>
      </w:r>
      <w:r w:rsidRPr="00D96565">
        <w:rPr>
          <w:rFonts w:hint="eastAsia"/>
          <w:lang w:val="en-GB" w:eastAsia="ja-JP"/>
        </w:rPr>
        <w:t xml:space="preserve"> cells. Measurement results associated with the measurement ID provided by the S</w:t>
      </w:r>
      <w:r w:rsidR="001C2C5C" w:rsidRPr="00D96565">
        <w:rPr>
          <w:lang w:val="en-GB" w:eastAsia="ja-JP"/>
        </w:rPr>
        <w:t>gNB</w:t>
      </w:r>
      <w:r w:rsidRPr="00D96565">
        <w:rPr>
          <w:rFonts w:hint="eastAsia"/>
          <w:lang w:val="en-GB" w:eastAsia="ja-JP"/>
        </w:rPr>
        <w:t xml:space="preserve"> is reported to the S</w:t>
      </w:r>
      <w:r w:rsidR="001C2C5C" w:rsidRPr="00D96565">
        <w:rPr>
          <w:lang w:val="en-GB" w:eastAsia="ja-JP"/>
        </w:rPr>
        <w:t>gNB</w:t>
      </w:r>
      <w:r w:rsidRPr="00D96565">
        <w:rPr>
          <w:rFonts w:hint="eastAsia"/>
          <w:lang w:val="en-GB" w:eastAsia="ja-JP"/>
        </w:rPr>
        <w:t xml:space="preserve"> only using the NR Measurement Report message. In this option, the UE could be configured </w:t>
      </w:r>
      <w:r w:rsidRPr="00D96565">
        <w:rPr>
          <w:lang w:val="en-GB" w:eastAsia="ja-JP"/>
        </w:rPr>
        <w:t>with</w:t>
      </w:r>
      <w:r w:rsidRPr="00D96565">
        <w:rPr>
          <w:rFonts w:hint="eastAsia"/>
          <w:lang w:val="en-GB" w:eastAsia="ja-JP"/>
        </w:rPr>
        <w:t xml:space="preserve"> the duplicated measurement object on the same carrier frequency</w:t>
      </w:r>
      <w:r w:rsidR="00B44A48" w:rsidRPr="00D96565">
        <w:rPr>
          <w:lang w:val="en-GB" w:eastAsia="ja-JP"/>
        </w:rPr>
        <w:t>,</w:t>
      </w:r>
      <w:r w:rsidRPr="00D96565">
        <w:rPr>
          <w:rFonts w:hint="eastAsia"/>
          <w:lang w:val="en-GB" w:eastAsia="ja-JP"/>
        </w:rPr>
        <w:t xml:space="preserve"> so the UE could be asked to perform the different measurements on </w:t>
      </w:r>
      <w:r w:rsidRPr="00D96565">
        <w:rPr>
          <w:lang w:val="en-GB" w:eastAsia="ja-JP"/>
        </w:rPr>
        <w:t>the</w:t>
      </w:r>
      <w:r w:rsidRPr="00D96565">
        <w:rPr>
          <w:rFonts w:hint="eastAsia"/>
          <w:lang w:val="en-GB" w:eastAsia="ja-JP"/>
        </w:rPr>
        <w:t xml:space="preserve"> same carrier frequency simultaneously by the M</w:t>
      </w:r>
      <w:r w:rsidR="001C2C5C" w:rsidRPr="00D96565">
        <w:rPr>
          <w:lang w:val="en-GB" w:eastAsia="ja-JP"/>
        </w:rPr>
        <w:t>eNB</w:t>
      </w:r>
      <w:r w:rsidRPr="00D96565">
        <w:rPr>
          <w:rFonts w:hint="eastAsia"/>
          <w:lang w:val="en-GB" w:eastAsia="ja-JP"/>
        </w:rPr>
        <w:t xml:space="preserve"> and the S</w:t>
      </w:r>
      <w:r w:rsidR="001C2C5C" w:rsidRPr="00D96565">
        <w:rPr>
          <w:lang w:val="en-GB" w:eastAsia="ja-JP"/>
        </w:rPr>
        <w:t>gNB</w:t>
      </w:r>
      <w:r w:rsidRPr="00D96565">
        <w:rPr>
          <w:rFonts w:hint="eastAsia"/>
          <w:lang w:val="en-GB" w:eastAsia="ja-JP"/>
        </w:rPr>
        <w:t xml:space="preserve">. </w:t>
      </w:r>
    </w:p>
    <w:p w14:paraId="4594988C" w14:textId="6F780ECB" w:rsidR="00011DAF" w:rsidRPr="00D96565" w:rsidRDefault="00011DAF" w:rsidP="00011DAF">
      <w:pPr>
        <w:jc w:val="both"/>
        <w:rPr>
          <w:lang w:val="en-GB" w:eastAsia="ja-JP"/>
        </w:rPr>
      </w:pPr>
      <w:r w:rsidRPr="00D96565">
        <w:rPr>
          <w:lang w:val="en-GB" w:eastAsia="ja-JP"/>
        </w:rPr>
        <w:t>Although the same frequency is configured twice by both LTE MeNB and NR SgNB, we think it is not an issue. First, from each RRC entity perspective, there is no duplication. Second, smart UE can correlate the measurement configuration from LTE MeNB and NR SgNB and then know it can just measure once but send measurement report according to different triggering criterions configured by LTE MeNB and NR SgNB.</w:t>
      </w:r>
    </w:p>
    <w:p w14:paraId="0BC846A2" w14:textId="623E98B3" w:rsidR="00011DAF" w:rsidRPr="00D96565" w:rsidRDefault="00011DAF" w:rsidP="0069333E">
      <w:pPr>
        <w:pStyle w:val="Observation"/>
        <w:jc w:val="both"/>
        <w:rPr>
          <w:lang w:val="en-GB"/>
        </w:rPr>
      </w:pPr>
      <w:bookmarkStart w:id="2" w:name="_Toc481753759"/>
      <w:bookmarkStart w:id="3" w:name="_Toc481753901"/>
      <w:bookmarkStart w:id="4" w:name="_Toc481797158"/>
      <w:r w:rsidRPr="00D96565">
        <w:rPr>
          <w:lang w:val="en-GB" w:eastAsia="ja-JP"/>
        </w:rPr>
        <w:t xml:space="preserve">Duplicated measurement objects for same frequency is not an issue in option 1.  Smart UE implementation can </w:t>
      </w:r>
      <w:r w:rsidR="00D96565">
        <w:rPr>
          <w:lang w:val="en-GB" w:eastAsia="ja-JP"/>
        </w:rPr>
        <w:t xml:space="preserve">perform </w:t>
      </w:r>
      <w:r w:rsidR="00197FC6">
        <w:rPr>
          <w:lang w:val="en-GB" w:eastAsia="ja-JP"/>
        </w:rPr>
        <w:t xml:space="preserve">a </w:t>
      </w:r>
      <w:r w:rsidR="00D96565">
        <w:rPr>
          <w:lang w:val="en-GB" w:eastAsia="ja-JP"/>
        </w:rPr>
        <w:t xml:space="preserve">single measurement </w:t>
      </w:r>
      <w:r w:rsidR="0069333E" w:rsidRPr="00D96565">
        <w:rPr>
          <w:lang w:val="en-GB" w:eastAsia="ja-JP"/>
        </w:rPr>
        <w:t>but send measurement report</w:t>
      </w:r>
      <w:r w:rsidR="00197FC6">
        <w:rPr>
          <w:lang w:val="en-GB" w:eastAsia="ja-JP"/>
        </w:rPr>
        <w:t>s</w:t>
      </w:r>
      <w:r w:rsidR="0069333E" w:rsidRPr="00D96565">
        <w:rPr>
          <w:lang w:val="en-GB" w:eastAsia="ja-JP"/>
        </w:rPr>
        <w:t xml:space="preserve"> according to configuration</w:t>
      </w:r>
      <w:r w:rsidR="00197FC6">
        <w:rPr>
          <w:lang w:val="en-GB" w:eastAsia="ja-JP"/>
        </w:rPr>
        <w:t>s</w:t>
      </w:r>
      <w:r w:rsidR="0069333E" w:rsidRPr="00D96565">
        <w:rPr>
          <w:lang w:val="en-GB" w:eastAsia="ja-JP"/>
        </w:rPr>
        <w:t xml:space="preserve"> from two sides.</w:t>
      </w:r>
      <w:bookmarkEnd w:id="2"/>
      <w:bookmarkEnd w:id="3"/>
      <w:bookmarkEnd w:id="4"/>
      <w:r w:rsidR="0069333E" w:rsidRPr="00D96565">
        <w:rPr>
          <w:lang w:val="en-GB" w:eastAsia="ja-JP"/>
        </w:rPr>
        <w:t xml:space="preserve"> </w:t>
      </w:r>
    </w:p>
    <w:p w14:paraId="638E1ABC" w14:textId="2C3AE840" w:rsidR="0069333E" w:rsidRPr="00D96565" w:rsidRDefault="00B44A48" w:rsidP="0069333E">
      <w:pPr>
        <w:jc w:val="both"/>
        <w:rPr>
          <w:lang w:val="en-GB" w:eastAsia="ja-JP"/>
        </w:rPr>
      </w:pPr>
      <w:r w:rsidRPr="00D96565">
        <w:rPr>
          <w:lang w:val="en-GB" w:eastAsia="ja-JP"/>
        </w:rPr>
        <w:t>Furthermore, i</w:t>
      </w:r>
      <w:r w:rsidR="0069333E" w:rsidRPr="00D96565">
        <w:rPr>
          <w:lang w:val="en-GB" w:eastAsia="ja-JP"/>
        </w:rPr>
        <w:t>ndependent configuration is from UE perspective</w:t>
      </w:r>
      <w:r w:rsidRPr="00D96565">
        <w:rPr>
          <w:lang w:val="en-GB" w:eastAsia="ja-JP"/>
        </w:rPr>
        <w:t>.</w:t>
      </w:r>
      <w:r w:rsidR="0069333E" w:rsidRPr="00D96565">
        <w:rPr>
          <w:lang w:val="en-GB" w:eastAsia="ja-JP"/>
        </w:rPr>
        <w:t xml:space="preserve"> MeNB and SgNB still need to coordinate what measurement are configured by each other. For example, the total number of carriers to measure, the measurement </w:t>
      </w:r>
      <w:r w:rsidRPr="00D96565">
        <w:rPr>
          <w:lang w:val="en-GB" w:eastAsia="ja-JP"/>
        </w:rPr>
        <w:t>gap</w:t>
      </w:r>
      <w:r w:rsidR="0069333E" w:rsidRPr="00D96565">
        <w:rPr>
          <w:lang w:val="en-GB" w:eastAsia="ja-JP"/>
        </w:rPr>
        <w:t xml:space="preserve"> configured by each node, the frequency configured by each other etc. However, this is more </w:t>
      </w:r>
      <w:r w:rsidR="00C35BA1">
        <w:rPr>
          <w:lang w:val="en-GB" w:eastAsia="ja-JP"/>
        </w:rPr>
        <w:t xml:space="preserve">of </w:t>
      </w:r>
      <w:r w:rsidR="0069333E" w:rsidRPr="00D96565">
        <w:rPr>
          <w:lang w:val="en-GB" w:eastAsia="ja-JP"/>
        </w:rPr>
        <w:t>a NW internal coordination. UE does not need to know how MeNB and SgNB coordinate with each other.</w:t>
      </w:r>
    </w:p>
    <w:p w14:paraId="5DA4932F" w14:textId="5B0BBF55" w:rsidR="0069333E" w:rsidRPr="00D96565" w:rsidRDefault="00C35BA1" w:rsidP="0069333E">
      <w:pPr>
        <w:pStyle w:val="Observation"/>
        <w:jc w:val="both"/>
        <w:rPr>
          <w:lang w:val="en-GB"/>
        </w:rPr>
      </w:pPr>
      <w:bookmarkStart w:id="5" w:name="_Toc481753760"/>
      <w:bookmarkStart w:id="6" w:name="_Toc481753902"/>
      <w:bookmarkStart w:id="7" w:name="_Toc481797159"/>
      <w:r>
        <w:rPr>
          <w:lang w:val="en-GB" w:eastAsia="ja-JP"/>
        </w:rPr>
        <w:t>Eventhough Option 1 includes i</w:t>
      </w:r>
      <w:r w:rsidR="0069333E" w:rsidRPr="00D96565">
        <w:rPr>
          <w:lang w:val="en-GB" w:eastAsia="ja-JP"/>
        </w:rPr>
        <w:t xml:space="preserve">ndependent </w:t>
      </w:r>
      <w:r w:rsidR="0069333E" w:rsidRPr="00D96565">
        <w:rPr>
          <w:lang w:val="en-GB"/>
        </w:rPr>
        <w:t>configuration between MCG and SCG</w:t>
      </w:r>
      <w:r>
        <w:rPr>
          <w:lang w:val="en-GB"/>
        </w:rPr>
        <w:t>,</w:t>
      </w:r>
      <w:r w:rsidR="0069333E" w:rsidRPr="00D96565">
        <w:rPr>
          <w:lang w:val="en-GB"/>
        </w:rPr>
        <w:t xml:space="preserve"> still some coordination between MeNB and SgNB</w:t>
      </w:r>
      <w:r>
        <w:rPr>
          <w:lang w:val="en-GB"/>
        </w:rPr>
        <w:t xml:space="preserve"> is required</w:t>
      </w:r>
      <w:r w:rsidR="0069333E" w:rsidRPr="00D96565">
        <w:rPr>
          <w:lang w:val="en-GB"/>
        </w:rPr>
        <w:t>.</w:t>
      </w:r>
      <w:bookmarkEnd w:id="5"/>
      <w:bookmarkEnd w:id="6"/>
      <w:bookmarkEnd w:id="7"/>
    </w:p>
    <w:p w14:paraId="79AF74D4" w14:textId="6814D635" w:rsidR="0069333E" w:rsidRPr="00D96565" w:rsidRDefault="0069333E" w:rsidP="0069333E">
      <w:pPr>
        <w:jc w:val="both"/>
        <w:rPr>
          <w:lang w:val="en-GB" w:eastAsia="ja-JP"/>
        </w:rPr>
      </w:pPr>
      <w:r w:rsidRPr="00D96565">
        <w:rPr>
          <w:lang w:val="en-GB" w:eastAsia="ja-JP"/>
        </w:rPr>
        <w:t xml:space="preserve">Since MeNB has configured UE inter-RAT measurement, while SgNB will configure UE intra-RAT measurement, MeNB and SgNB may receive relevant measurement reports from UE on same NR carrier. </w:t>
      </w:r>
      <w:r w:rsidRPr="00D96565">
        <w:rPr>
          <w:lang w:val="en-GB" w:eastAsia="ja-JP"/>
        </w:rPr>
        <w:lastRenderedPageBreak/>
        <w:t xml:space="preserve">This may result into conflicted decision. For example, when SgNB radio link quality is bad, MeNB may want to initiate SgNB release but at the same time SgNB may perform SgNB change. Therefore, it would be good that SgNB is in control of SgNB related mobility once SgNB is added. MeNB can initiate SgNB change/release on request from SgNB. </w:t>
      </w:r>
      <w:r w:rsidR="00AF0236" w:rsidRPr="00D96565">
        <w:rPr>
          <w:lang w:val="en-GB" w:eastAsia="ja-JP"/>
        </w:rPr>
        <w:t>However, it</w:t>
      </w:r>
      <w:r w:rsidRPr="00D96565">
        <w:rPr>
          <w:lang w:val="en-GB" w:eastAsia="ja-JP"/>
        </w:rPr>
        <w:t xml:space="preserve"> is not necessary to let MeNB deconfigure the measurement on NR carrier once SgNB is added. MeNB can just ignore those measurement report</w:t>
      </w:r>
      <w:r w:rsidR="00B44A48" w:rsidRPr="00D96565">
        <w:rPr>
          <w:lang w:val="en-GB" w:eastAsia="ja-JP"/>
        </w:rPr>
        <w:t>s</w:t>
      </w:r>
      <w:r w:rsidRPr="00D96565">
        <w:rPr>
          <w:lang w:val="en-GB" w:eastAsia="ja-JP"/>
        </w:rPr>
        <w:t>. So it is just a network implementation issue.</w:t>
      </w:r>
    </w:p>
    <w:p w14:paraId="1028EE26" w14:textId="01AAFA92" w:rsidR="00AF0236" w:rsidRPr="00D96565" w:rsidRDefault="00AF0236" w:rsidP="00AF0236">
      <w:pPr>
        <w:pStyle w:val="Observation"/>
        <w:jc w:val="both"/>
        <w:rPr>
          <w:lang w:val="en-GB"/>
        </w:rPr>
      </w:pPr>
      <w:bookmarkStart w:id="8" w:name="_Toc481753761"/>
      <w:bookmarkStart w:id="9" w:name="_Toc481753903"/>
      <w:bookmarkStart w:id="10" w:name="_Toc481797160"/>
      <w:r w:rsidRPr="00D96565">
        <w:rPr>
          <w:lang w:val="en-GB" w:eastAsia="ja-JP"/>
        </w:rPr>
        <w:t>It is not necessary to let MeNB deconfigure inter-RAT measurement once SgNB is added. The potential conflicted decision can be avoided by NW implementation.</w:t>
      </w:r>
      <w:bookmarkEnd w:id="8"/>
      <w:bookmarkEnd w:id="9"/>
      <w:bookmarkEnd w:id="10"/>
    </w:p>
    <w:p w14:paraId="3AA544DB" w14:textId="7691D4A3" w:rsidR="006136ED" w:rsidRPr="00D96565" w:rsidRDefault="006136ED" w:rsidP="00D64193">
      <w:pPr>
        <w:rPr>
          <w:lang w:val="en-GB" w:eastAsia="ja-JP"/>
        </w:rPr>
      </w:pPr>
      <w:r w:rsidRPr="00D96565">
        <w:rPr>
          <w:lang w:val="en-GB" w:eastAsia="ja-JP"/>
        </w:rPr>
        <w:t>The overview of option 2 is as below</w:t>
      </w:r>
    </w:p>
    <w:p w14:paraId="1DB8A83A" w14:textId="77777777" w:rsidR="00AF0236" w:rsidRDefault="006136ED" w:rsidP="00AF0236">
      <w:pPr>
        <w:keepNext/>
      </w:pPr>
      <w:r>
        <w:rPr>
          <w:lang w:eastAsia="ja-JP"/>
        </w:rPr>
        <w:object w:dxaOrig="5377" w:dyaOrig="3467" w14:anchorId="755ECCE6">
          <v:shape id="_x0000_i1026" type="#_x0000_t75" style="width:322.5pt;height:207.75pt" o:ole="">
            <v:imagedata r:id="rId16" o:title=""/>
          </v:shape>
          <o:OLEObject Type="Embed" ProgID="Visio.Drawing.11" ShapeID="_x0000_i1026" DrawAspect="Content" ObjectID="_1555539031" r:id="rId17"/>
        </w:object>
      </w:r>
    </w:p>
    <w:p w14:paraId="0A4E3D49" w14:textId="514753C5" w:rsidR="006136ED" w:rsidRPr="00D96565" w:rsidRDefault="00AF0236" w:rsidP="00AF0236">
      <w:pPr>
        <w:pStyle w:val="Caption"/>
        <w:jc w:val="left"/>
        <w:rPr>
          <w:lang w:val="en-GB" w:eastAsia="ja-JP"/>
        </w:rPr>
      </w:pPr>
      <w:r w:rsidRPr="00D96565">
        <w:rPr>
          <w:lang w:val="en-GB"/>
        </w:rPr>
        <w:t xml:space="preserve">Figure </w:t>
      </w:r>
      <w:r w:rsidR="009641A0">
        <w:fldChar w:fldCharType="begin"/>
      </w:r>
      <w:r w:rsidR="009641A0" w:rsidRPr="00D96565">
        <w:rPr>
          <w:lang w:val="en-GB"/>
        </w:rPr>
        <w:instrText xml:space="preserve"> SEQ Figure \* ARABIC </w:instrText>
      </w:r>
      <w:r w:rsidR="009641A0">
        <w:fldChar w:fldCharType="separate"/>
      </w:r>
      <w:r w:rsidR="001179B1" w:rsidRPr="00D96565">
        <w:rPr>
          <w:noProof/>
          <w:lang w:val="en-GB"/>
        </w:rPr>
        <w:t>2</w:t>
      </w:r>
      <w:r w:rsidR="009641A0">
        <w:rPr>
          <w:noProof/>
        </w:rPr>
        <w:fldChar w:fldCharType="end"/>
      </w:r>
      <w:r w:rsidRPr="00D96565">
        <w:rPr>
          <w:lang w:val="en-GB"/>
        </w:rPr>
        <w:t xml:space="preserve"> </w:t>
      </w:r>
      <w:r w:rsidR="00B44A48" w:rsidRPr="00D96565">
        <w:rPr>
          <w:lang w:val="en-GB"/>
        </w:rPr>
        <w:t>Option 2 c</w:t>
      </w:r>
      <w:r w:rsidRPr="00D96565">
        <w:rPr>
          <w:lang w:val="en-GB"/>
        </w:rPr>
        <w:t>ommon configuration for MCG and SCG</w:t>
      </w:r>
    </w:p>
    <w:p w14:paraId="5F5E682C" w14:textId="28632BDA" w:rsidR="006136ED" w:rsidRPr="00D96565" w:rsidRDefault="006136ED" w:rsidP="00AF0236">
      <w:pPr>
        <w:jc w:val="both"/>
        <w:rPr>
          <w:lang w:val="en-GB" w:eastAsia="ja-JP"/>
        </w:rPr>
      </w:pPr>
      <w:r w:rsidRPr="00D96565">
        <w:rPr>
          <w:rFonts w:hint="eastAsia"/>
          <w:lang w:val="en-GB" w:eastAsia="ja-JP"/>
        </w:rPr>
        <w:t xml:space="preserve">In this option, the measurement configuration (objects, report configurations, IDs) is common to MCG and SCG (i.e. LTE </w:t>
      </w:r>
      <w:r w:rsidRPr="00D96565">
        <w:rPr>
          <w:lang w:val="en-GB" w:eastAsia="ja-JP"/>
        </w:rPr>
        <w:t>and</w:t>
      </w:r>
      <w:r w:rsidRPr="00D96565">
        <w:rPr>
          <w:rFonts w:hint="eastAsia"/>
          <w:lang w:val="en-GB" w:eastAsia="ja-JP"/>
        </w:rPr>
        <w:t xml:space="preserve"> NR) and built by MN and SN together. The common configuration can be provided by either the MN using the LTE RRC reconfiguration message or the SN using the NR RRC reconfiguration message. Likewise, Measurement results can be reported to either the MN using the LTE Measurement Report message or the SN using the NR Measurement Report message. In this option, all the serving cells in MCG and SCG are regarded as serving cells.</w:t>
      </w:r>
    </w:p>
    <w:p w14:paraId="74185CC2" w14:textId="4435D99C" w:rsidR="00513995" w:rsidRPr="00D96565" w:rsidRDefault="006A00DC" w:rsidP="001179B1">
      <w:pPr>
        <w:jc w:val="both"/>
        <w:rPr>
          <w:lang w:val="en-GB" w:eastAsia="ja-JP"/>
        </w:rPr>
      </w:pPr>
      <w:r w:rsidRPr="00D96565">
        <w:rPr>
          <w:lang w:val="en-GB" w:eastAsia="ja-JP"/>
        </w:rPr>
        <w:t xml:space="preserve">Since in option 2 NR carriers are also considered as serving cells of MeNB, </w:t>
      </w:r>
      <w:r w:rsidR="00C6211B" w:rsidRPr="00D96565">
        <w:rPr>
          <w:lang w:val="en-GB" w:eastAsia="ja-JP"/>
        </w:rPr>
        <w:t xml:space="preserve">LTE spec need to introduce the measurement configuration defined in NR and vice versa, </w:t>
      </w:r>
      <w:r w:rsidRPr="00D96565">
        <w:rPr>
          <w:lang w:val="en-GB" w:eastAsia="ja-JP"/>
        </w:rPr>
        <w:t xml:space="preserve">we think this violate the principle </w:t>
      </w:r>
      <w:r w:rsidR="00C6211B" w:rsidRPr="00D96565">
        <w:rPr>
          <w:lang w:val="en-GB" w:eastAsia="ja-JP"/>
        </w:rPr>
        <w:t xml:space="preserve">to make LTE and NR spec decoupled. </w:t>
      </w:r>
    </w:p>
    <w:p w14:paraId="0CCA49D7" w14:textId="58432C0D" w:rsidR="00C6211B" w:rsidRPr="00D96565" w:rsidRDefault="00C6211B" w:rsidP="001179B1">
      <w:pPr>
        <w:jc w:val="both"/>
        <w:rPr>
          <w:lang w:val="en-GB" w:eastAsia="ja-JP"/>
        </w:rPr>
      </w:pPr>
      <w:r w:rsidRPr="00D96565">
        <w:rPr>
          <w:lang w:val="en-GB" w:eastAsia="ja-JP"/>
        </w:rPr>
        <w:t>Furthermore, when common configuration is configured by MeNB, the measurement report will be received by MeNB. However, according to previous agreement, SgNB should be responsible for NR related mobility</w:t>
      </w:r>
      <w:r w:rsidR="001179B1" w:rsidRPr="00D96565">
        <w:rPr>
          <w:lang w:val="en-GB" w:eastAsia="ja-JP"/>
        </w:rPr>
        <w:t>, at least for intra SgNB change</w:t>
      </w:r>
      <w:r w:rsidRPr="00D96565">
        <w:rPr>
          <w:lang w:val="en-GB" w:eastAsia="ja-JP"/>
        </w:rPr>
        <w:t xml:space="preserve">. Then master need to forward NR related measurement report to SgNB. </w:t>
      </w:r>
      <w:r w:rsidR="001179B1" w:rsidRPr="00D96565">
        <w:rPr>
          <w:lang w:val="en-GB" w:eastAsia="ja-JP"/>
        </w:rPr>
        <w:t>This will delay the mobility procedure in SgNB as SgNB can not receive its measurement report directly.</w:t>
      </w:r>
    </w:p>
    <w:p w14:paraId="3D228140" w14:textId="0E03EC55" w:rsidR="005E4E30" w:rsidRPr="00D96565" w:rsidRDefault="005E4E30" w:rsidP="005E4E30">
      <w:pPr>
        <w:pStyle w:val="Observation"/>
        <w:rPr>
          <w:lang w:val="en-GB"/>
        </w:rPr>
      </w:pPr>
      <w:bookmarkStart w:id="11" w:name="_Toc347822666"/>
      <w:bookmarkStart w:id="12" w:name="_Toc347823812"/>
      <w:bookmarkStart w:id="13" w:name="_Toc347823993"/>
      <w:bookmarkStart w:id="14" w:name="_Toc347824244"/>
      <w:bookmarkStart w:id="15" w:name="_Toc481753762"/>
      <w:bookmarkStart w:id="16" w:name="_Toc481753904"/>
      <w:bookmarkStart w:id="17" w:name="_Toc481797161"/>
      <w:r w:rsidRPr="00D96565">
        <w:rPr>
          <w:lang w:val="en-GB"/>
        </w:rPr>
        <w:t>Common configuration to MCG and SCG will result into dependency between LTE spec and NR spec.</w:t>
      </w:r>
      <w:bookmarkEnd w:id="11"/>
      <w:bookmarkEnd w:id="12"/>
      <w:bookmarkEnd w:id="13"/>
      <w:bookmarkEnd w:id="14"/>
      <w:bookmarkEnd w:id="15"/>
      <w:bookmarkEnd w:id="16"/>
      <w:bookmarkEnd w:id="17"/>
    </w:p>
    <w:p w14:paraId="47D1F86A" w14:textId="7A3F1D03" w:rsidR="001179B1" w:rsidRPr="00D96565" w:rsidRDefault="001179B1" w:rsidP="001179B1">
      <w:pPr>
        <w:jc w:val="both"/>
        <w:rPr>
          <w:lang w:val="en-GB" w:eastAsia="ja-JP"/>
        </w:rPr>
      </w:pPr>
      <w:r w:rsidRPr="00D96565">
        <w:rPr>
          <w:lang w:val="en-GB" w:eastAsia="ja-JP"/>
        </w:rPr>
        <w:lastRenderedPageBreak/>
        <w:t>As a variant of option 2, the common configuration is applied for measurement objects only and measurement IDs and report configurations are built by the MN and the SN independently as illustrated in Figure 3 (Option 2b)</w:t>
      </w:r>
      <w:r w:rsidR="00DE20EB" w:rsidRPr="00D96565">
        <w:rPr>
          <w:lang w:val="en-GB" w:eastAsia="ja-JP"/>
        </w:rPr>
        <w:t>.</w:t>
      </w:r>
      <w:r w:rsidRPr="00D96565">
        <w:rPr>
          <w:lang w:val="en-GB" w:eastAsia="ja-JP"/>
        </w:rPr>
        <w:t xml:space="preserve"> </w:t>
      </w:r>
    </w:p>
    <w:p w14:paraId="5D3B21B4" w14:textId="77777777" w:rsidR="001179B1" w:rsidRDefault="001179B1" w:rsidP="001179B1">
      <w:pPr>
        <w:keepNext/>
        <w:jc w:val="both"/>
      </w:pPr>
      <w:r>
        <w:rPr>
          <w:lang w:eastAsia="ja-JP"/>
        </w:rPr>
        <w:object w:dxaOrig="5377" w:dyaOrig="3467" w14:anchorId="32E68A6C">
          <v:shape id="_x0000_i1027" type="#_x0000_t75" style="width:322.5pt;height:207.75pt" o:ole="">
            <v:imagedata r:id="rId18" o:title=""/>
          </v:shape>
          <o:OLEObject Type="Embed" ProgID="Visio.Drawing.11" ShapeID="_x0000_i1027" DrawAspect="Content" ObjectID="_1555539032" r:id="rId19"/>
        </w:object>
      </w:r>
    </w:p>
    <w:p w14:paraId="290D2FBE" w14:textId="3DCE0F8A" w:rsidR="001179B1" w:rsidRPr="00D96565" w:rsidRDefault="001179B1" w:rsidP="001179B1">
      <w:pPr>
        <w:pStyle w:val="Caption"/>
        <w:jc w:val="both"/>
        <w:rPr>
          <w:lang w:val="en-GB" w:eastAsia="ja-JP"/>
        </w:rPr>
      </w:pPr>
      <w:r w:rsidRPr="00D96565">
        <w:rPr>
          <w:lang w:val="en-GB"/>
        </w:rPr>
        <w:t xml:space="preserve">Figure </w:t>
      </w:r>
      <w:r>
        <w:fldChar w:fldCharType="begin"/>
      </w:r>
      <w:r w:rsidRPr="00D96565">
        <w:rPr>
          <w:lang w:val="en-GB"/>
        </w:rPr>
        <w:instrText xml:space="preserve"> SEQ Figure \* ARABIC </w:instrText>
      </w:r>
      <w:r>
        <w:fldChar w:fldCharType="separate"/>
      </w:r>
      <w:r w:rsidRPr="00D96565">
        <w:rPr>
          <w:noProof/>
          <w:lang w:val="en-GB"/>
        </w:rPr>
        <w:t>3</w:t>
      </w:r>
      <w:r>
        <w:fldChar w:fldCharType="end"/>
      </w:r>
      <w:r w:rsidRPr="00D96565">
        <w:rPr>
          <w:lang w:val="en-GB"/>
        </w:rPr>
        <w:t xml:space="preserve"> </w:t>
      </w:r>
      <w:r w:rsidRPr="00D96565">
        <w:rPr>
          <w:rFonts w:hint="eastAsia"/>
          <w:lang w:val="en-GB" w:eastAsia="ja-JP"/>
        </w:rPr>
        <w:t>Common measurement object, RAT dependent ID, report configuration (Option 2b)</w:t>
      </w:r>
    </w:p>
    <w:p w14:paraId="34CD347F" w14:textId="77777777" w:rsidR="00DE20EB" w:rsidRPr="00D96565" w:rsidRDefault="001179B1" w:rsidP="001179B1">
      <w:pPr>
        <w:jc w:val="both"/>
        <w:rPr>
          <w:lang w:val="en-GB" w:eastAsia="ja-JP"/>
        </w:rPr>
      </w:pPr>
      <w:r w:rsidRPr="00D96565">
        <w:rPr>
          <w:lang w:val="en-GB" w:eastAsia="ja-JP"/>
        </w:rPr>
        <w:t xml:space="preserve">We think option </w:t>
      </w:r>
      <w:r w:rsidR="00DE20EB" w:rsidRPr="00D96565">
        <w:rPr>
          <w:lang w:val="en-GB" w:eastAsia="ja-JP"/>
        </w:rPr>
        <w:t xml:space="preserve">2b maybe a candidate solution as it help to avoid duplicated measurement object while the dependency between LTE and NR is not very tight. </w:t>
      </w:r>
    </w:p>
    <w:p w14:paraId="6DC0C6C1" w14:textId="1795CA6F" w:rsidR="00DE20EB" w:rsidRPr="00D96565" w:rsidRDefault="00DE20EB" w:rsidP="001179B1">
      <w:pPr>
        <w:jc w:val="both"/>
        <w:rPr>
          <w:lang w:val="en-GB" w:eastAsia="ja-JP"/>
        </w:rPr>
      </w:pPr>
      <w:r w:rsidRPr="00D96565">
        <w:rPr>
          <w:lang w:val="en-GB" w:eastAsia="ja-JP"/>
        </w:rPr>
        <w:t>According to the analysis above, we therefore propose</w:t>
      </w:r>
    </w:p>
    <w:p w14:paraId="0CE30557" w14:textId="2A405B8E" w:rsidR="003E21B1" w:rsidRPr="00D96565" w:rsidRDefault="005E4FE1" w:rsidP="00A04F49">
      <w:pPr>
        <w:pStyle w:val="Proposal"/>
        <w:rPr>
          <w:lang w:val="en-GB"/>
        </w:rPr>
      </w:pPr>
      <w:bookmarkStart w:id="18" w:name="_Toc481753871"/>
      <w:bookmarkStart w:id="19" w:name="_Toc481753905"/>
      <w:bookmarkStart w:id="20" w:name="_Ref190406817"/>
      <w:bookmarkStart w:id="21" w:name="_Toc226862296"/>
      <w:bookmarkStart w:id="22" w:name="_Toc347823621"/>
      <w:bookmarkStart w:id="23" w:name="_Toc347824073"/>
      <w:bookmarkStart w:id="24" w:name="_Toc347824246"/>
      <w:bookmarkStart w:id="25" w:name="_Toc481797162"/>
      <w:r w:rsidRPr="00D96565">
        <w:rPr>
          <w:lang w:val="en-GB"/>
        </w:rPr>
        <w:t xml:space="preserve">Independent measurement configuration </w:t>
      </w:r>
      <w:r w:rsidR="003E21B1" w:rsidRPr="00D96565">
        <w:rPr>
          <w:lang w:val="en-GB"/>
        </w:rPr>
        <w:t xml:space="preserve">Option 1 in email discussion, should be </w:t>
      </w:r>
      <w:r w:rsidRPr="00D96565">
        <w:rPr>
          <w:lang w:val="en-GB"/>
        </w:rPr>
        <w:t>u</w:t>
      </w:r>
      <w:r w:rsidR="003E21B1" w:rsidRPr="00D96565">
        <w:rPr>
          <w:lang w:val="en-GB"/>
        </w:rPr>
        <w:t>sed as the framework for measurement configuration in case of LTE-NR tight interworking</w:t>
      </w:r>
      <w:bookmarkEnd w:id="18"/>
      <w:bookmarkEnd w:id="19"/>
      <w:bookmarkEnd w:id="25"/>
    </w:p>
    <w:p w14:paraId="6883C296" w14:textId="23FDD4C7" w:rsidR="00DE20EB" w:rsidRPr="00D96565" w:rsidRDefault="00DE20EB" w:rsidP="00A04F49">
      <w:pPr>
        <w:pStyle w:val="Proposal"/>
        <w:rPr>
          <w:lang w:val="en-GB"/>
        </w:rPr>
      </w:pPr>
      <w:bookmarkStart w:id="26" w:name="_Toc481753872"/>
      <w:bookmarkStart w:id="27" w:name="_Toc481753906"/>
      <w:bookmarkStart w:id="28" w:name="_Toc481797163"/>
      <w:r w:rsidRPr="00D96565">
        <w:rPr>
          <w:lang w:val="en-GB"/>
        </w:rPr>
        <w:t xml:space="preserve">Common measurement object, RAT dependent ID, report configuration Option 2b in email discussion may need be </w:t>
      </w:r>
      <w:r w:rsidR="00B44A48" w:rsidRPr="00D96565">
        <w:rPr>
          <w:lang w:val="en-GB"/>
        </w:rPr>
        <w:t xml:space="preserve">further </w:t>
      </w:r>
      <w:r w:rsidRPr="00D96565">
        <w:rPr>
          <w:lang w:val="en-GB"/>
        </w:rPr>
        <w:t>considered.</w:t>
      </w:r>
      <w:bookmarkEnd w:id="26"/>
      <w:bookmarkEnd w:id="27"/>
      <w:bookmarkEnd w:id="28"/>
    </w:p>
    <w:bookmarkEnd w:id="20"/>
    <w:bookmarkEnd w:id="21"/>
    <w:bookmarkEnd w:id="22"/>
    <w:bookmarkEnd w:id="23"/>
    <w:bookmarkEnd w:id="24"/>
    <w:p w14:paraId="7C8ED1CE" w14:textId="77777777" w:rsidR="00C01F33" w:rsidRPr="00CE0424" w:rsidRDefault="00C01F33" w:rsidP="00CE0424">
      <w:pPr>
        <w:pStyle w:val="Heading1"/>
      </w:pPr>
      <w:r w:rsidRPr="00CE0424">
        <w:t>Conclusion</w:t>
      </w:r>
    </w:p>
    <w:p w14:paraId="75B5DD83" w14:textId="684F789F" w:rsidR="00DE20EB" w:rsidRDefault="008E065E" w:rsidP="00DE20EB">
      <w:pPr>
        <w:pStyle w:val="BodyText"/>
        <w:rPr>
          <w:lang w:val="en-GB"/>
        </w:rPr>
      </w:pPr>
      <w:r w:rsidRPr="00D96565">
        <w:rPr>
          <w:lang w:val="en-GB"/>
        </w:rPr>
        <w:t xml:space="preserve">In section </w:t>
      </w:r>
      <w:r w:rsidRPr="00CE0424">
        <w:rPr>
          <w:highlight w:val="cyan"/>
        </w:rPr>
        <w:fldChar w:fldCharType="begin"/>
      </w:r>
      <w:r w:rsidRPr="00D96565">
        <w:rPr>
          <w:lang w:val="en-GB"/>
        </w:rPr>
        <w:instrText xml:space="preserve"> REF _Ref178064866 \r \h </w:instrText>
      </w:r>
      <w:r w:rsidRPr="00CE0424">
        <w:rPr>
          <w:highlight w:val="cyan"/>
        </w:rPr>
      </w:r>
      <w:r w:rsidRPr="00CE0424">
        <w:rPr>
          <w:highlight w:val="cyan"/>
        </w:rPr>
        <w:fldChar w:fldCharType="separate"/>
      </w:r>
      <w:r w:rsidR="00B253A2" w:rsidRPr="00D96565">
        <w:rPr>
          <w:lang w:val="en-GB"/>
        </w:rPr>
        <w:t>2</w:t>
      </w:r>
      <w:r w:rsidRPr="00CE0424">
        <w:rPr>
          <w:highlight w:val="cyan"/>
        </w:rPr>
        <w:fldChar w:fldCharType="end"/>
      </w:r>
      <w:r w:rsidRPr="00D96565">
        <w:rPr>
          <w:lang w:val="en-GB"/>
        </w:rPr>
        <w:t xml:space="preserve"> we made the following observations:</w:t>
      </w:r>
    </w:p>
    <w:p w14:paraId="0B7D2ECE" w14:textId="77777777" w:rsidR="00A61B71" w:rsidRPr="00A61B71" w:rsidRDefault="00DF3523">
      <w:pPr>
        <w:pStyle w:val="TOC1"/>
        <w:rPr>
          <w:rFonts w:asciiTheme="minorHAnsi" w:eastAsiaTheme="minorEastAsia" w:hAnsiTheme="minorHAnsi" w:cstheme="minorBidi"/>
          <w:b w:val="0"/>
          <w:sz w:val="22"/>
          <w:lang w:val="en-GB" w:eastAsia="fi-FI"/>
        </w:rPr>
      </w:pPr>
      <w:r>
        <w:rPr>
          <w:b w:val="0"/>
          <w:bCs/>
        </w:rPr>
        <w:fldChar w:fldCharType="begin"/>
      </w:r>
      <w:r>
        <w:rPr>
          <w:bCs/>
        </w:rPr>
        <w:instrText xml:space="preserve"> TOC \f \n \t "Observation;1" </w:instrText>
      </w:r>
      <w:r>
        <w:rPr>
          <w:b w:val="0"/>
          <w:bCs/>
        </w:rPr>
        <w:fldChar w:fldCharType="separate"/>
      </w:r>
      <w:r w:rsidR="00A61B71" w:rsidRPr="00805423">
        <w:rPr>
          <w:lang w:val="en-GB"/>
        </w:rPr>
        <w:t>Observation 1</w:t>
      </w:r>
      <w:r w:rsidR="00A61B71" w:rsidRPr="00A61B71">
        <w:rPr>
          <w:rFonts w:asciiTheme="minorHAnsi" w:eastAsiaTheme="minorEastAsia" w:hAnsiTheme="minorHAnsi" w:cstheme="minorBidi"/>
          <w:b w:val="0"/>
          <w:sz w:val="22"/>
          <w:lang w:val="en-GB" w:eastAsia="fi-FI"/>
        </w:rPr>
        <w:tab/>
      </w:r>
      <w:r w:rsidR="00A61B71" w:rsidRPr="00805423">
        <w:rPr>
          <w:lang w:val="en-GB" w:eastAsia="ja-JP"/>
        </w:rPr>
        <w:t>Duplicated measurement objects for same frequency is not an issue in option 1.  Smart UE implementation can perform a single measurement but send measurement reports according to configurations from two sides.</w:t>
      </w:r>
    </w:p>
    <w:p w14:paraId="5C79459D" w14:textId="77777777" w:rsidR="00A61B71" w:rsidRPr="00A61B71" w:rsidRDefault="00A61B71">
      <w:pPr>
        <w:pStyle w:val="TOC1"/>
        <w:rPr>
          <w:rFonts w:asciiTheme="minorHAnsi" w:eastAsiaTheme="minorEastAsia" w:hAnsiTheme="minorHAnsi" w:cstheme="minorBidi"/>
          <w:b w:val="0"/>
          <w:sz w:val="22"/>
          <w:lang w:val="en-GB" w:eastAsia="fi-FI"/>
        </w:rPr>
      </w:pPr>
      <w:r w:rsidRPr="00805423">
        <w:rPr>
          <w:lang w:val="en-GB"/>
        </w:rPr>
        <w:t>Observation 2</w:t>
      </w:r>
      <w:r w:rsidRPr="00A61B71">
        <w:rPr>
          <w:rFonts w:asciiTheme="minorHAnsi" w:eastAsiaTheme="minorEastAsia" w:hAnsiTheme="minorHAnsi" w:cstheme="minorBidi"/>
          <w:b w:val="0"/>
          <w:sz w:val="22"/>
          <w:lang w:val="en-GB" w:eastAsia="fi-FI"/>
        </w:rPr>
        <w:tab/>
      </w:r>
      <w:r w:rsidRPr="00805423">
        <w:rPr>
          <w:lang w:val="en-GB" w:eastAsia="ja-JP"/>
        </w:rPr>
        <w:t xml:space="preserve">Eventhough Option 1 includes independent </w:t>
      </w:r>
      <w:r w:rsidRPr="00805423">
        <w:rPr>
          <w:lang w:val="en-GB"/>
        </w:rPr>
        <w:t>configuration between MCG and SCG, still some coordination between MeNB and SgNB is required.</w:t>
      </w:r>
    </w:p>
    <w:p w14:paraId="33707B64" w14:textId="77777777" w:rsidR="00A61B71" w:rsidRPr="00A61B71" w:rsidRDefault="00A61B71">
      <w:pPr>
        <w:pStyle w:val="TOC1"/>
        <w:rPr>
          <w:rFonts w:asciiTheme="minorHAnsi" w:eastAsiaTheme="minorEastAsia" w:hAnsiTheme="minorHAnsi" w:cstheme="minorBidi"/>
          <w:b w:val="0"/>
          <w:sz w:val="22"/>
          <w:lang w:val="en-GB" w:eastAsia="fi-FI"/>
        </w:rPr>
      </w:pPr>
      <w:r w:rsidRPr="00805423">
        <w:rPr>
          <w:lang w:val="en-GB"/>
        </w:rPr>
        <w:t>Observation 3</w:t>
      </w:r>
      <w:r w:rsidRPr="00A61B71">
        <w:rPr>
          <w:rFonts w:asciiTheme="minorHAnsi" w:eastAsiaTheme="minorEastAsia" w:hAnsiTheme="minorHAnsi" w:cstheme="minorBidi"/>
          <w:b w:val="0"/>
          <w:sz w:val="22"/>
          <w:lang w:val="en-GB" w:eastAsia="fi-FI"/>
        </w:rPr>
        <w:tab/>
      </w:r>
      <w:r w:rsidRPr="00805423">
        <w:rPr>
          <w:lang w:val="en-GB" w:eastAsia="ja-JP"/>
        </w:rPr>
        <w:t>It is not necessary to let MeNB deconfigure inter-RAT measurement once SgNB is added. The potential conflicted decision can be avoided by NW implementation.</w:t>
      </w:r>
    </w:p>
    <w:p w14:paraId="7D3A7F9E" w14:textId="77777777" w:rsidR="00A61B71" w:rsidRPr="00A61B71" w:rsidRDefault="00A61B71">
      <w:pPr>
        <w:pStyle w:val="TOC1"/>
        <w:rPr>
          <w:rFonts w:asciiTheme="minorHAnsi" w:eastAsiaTheme="minorEastAsia" w:hAnsiTheme="minorHAnsi" w:cstheme="minorBidi"/>
          <w:b w:val="0"/>
          <w:sz w:val="22"/>
          <w:lang w:val="en-GB" w:eastAsia="fi-FI"/>
        </w:rPr>
      </w:pPr>
      <w:r w:rsidRPr="00805423">
        <w:rPr>
          <w:lang w:val="en-GB"/>
        </w:rPr>
        <w:t>Observation 4</w:t>
      </w:r>
      <w:r w:rsidRPr="00A61B71">
        <w:rPr>
          <w:rFonts w:asciiTheme="minorHAnsi" w:eastAsiaTheme="minorEastAsia" w:hAnsiTheme="minorHAnsi" w:cstheme="minorBidi"/>
          <w:b w:val="0"/>
          <w:sz w:val="22"/>
          <w:lang w:val="en-GB" w:eastAsia="fi-FI"/>
        </w:rPr>
        <w:tab/>
      </w:r>
      <w:r w:rsidRPr="00805423">
        <w:rPr>
          <w:lang w:val="en-GB"/>
        </w:rPr>
        <w:t>Common configuration to MCG and SCG will result into dependency between LTE spec and NR spec.</w:t>
      </w:r>
    </w:p>
    <w:p w14:paraId="4BD35363" w14:textId="0A056194" w:rsidR="00DF3523" w:rsidRPr="00D96565" w:rsidRDefault="00DF3523" w:rsidP="00DF3523">
      <w:pPr>
        <w:pStyle w:val="BodyText"/>
        <w:rPr>
          <w:lang w:val="en-GB"/>
        </w:rPr>
      </w:pPr>
      <w:r>
        <w:rPr>
          <w:b/>
          <w:bCs/>
        </w:rPr>
        <w:fldChar w:fldCharType="end"/>
      </w:r>
    </w:p>
    <w:p w14:paraId="7A5078A8" w14:textId="05982DB7" w:rsidR="00DF3523" w:rsidRPr="00DF3523" w:rsidRDefault="008E065E">
      <w:pPr>
        <w:pStyle w:val="TOC1"/>
        <w:rPr>
          <w:b w:val="0"/>
          <w:lang w:val="en-GB"/>
        </w:rPr>
      </w:pPr>
      <w:r w:rsidRPr="00DF3523">
        <w:rPr>
          <w:b w:val="0"/>
          <w:lang w:val="en-GB"/>
        </w:rPr>
        <w:lastRenderedPageBreak/>
        <w:t xml:space="preserve">Based on the discussion in section </w:t>
      </w:r>
      <w:r w:rsidRPr="00DF3523">
        <w:rPr>
          <w:b w:val="0"/>
          <w:highlight w:val="cyan"/>
        </w:rPr>
        <w:fldChar w:fldCharType="begin"/>
      </w:r>
      <w:r w:rsidRPr="00DF3523">
        <w:rPr>
          <w:b w:val="0"/>
          <w:lang w:val="en-GB"/>
        </w:rPr>
        <w:instrText xml:space="preserve"> REF _Ref178064866 \r \h </w:instrText>
      </w:r>
      <w:r w:rsidR="00DF3523">
        <w:rPr>
          <w:b w:val="0"/>
          <w:highlight w:val="cyan"/>
        </w:rPr>
        <w:instrText xml:space="preserve"> \* MERGEFORMAT </w:instrText>
      </w:r>
      <w:r w:rsidRPr="00DF3523">
        <w:rPr>
          <w:b w:val="0"/>
          <w:highlight w:val="cyan"/>
        </w:rPr>
      </w:r>
      <w:r w:rsidRPr="00DF3523">
        <w:rPr>
          <w:b w:val="0"/>
          <w:highlight w:val="cyan"/>
        </w:rPr>
        <w:fldChar w:fldCharType="separate"/>
      </w:r>
      <w:r w:rsidR="00B253A2" w:rsidRPr="00DF3523">
        <w:rPr>
          <w:b w:val="0"/>
          <w:lang w:val="en-GB"/>
        </w:rPr>
        <w:t>2</w:t>
      </w:r>
      <w:r w:rsidRPr="00DF3523">
        <w:rPr>
          <w:b w:val="0"/>
          <w:highlight w:val="cyan"/>
        </w:rPr>
        <w:fldChar w:fldCharType="end"/>
      </w:r>
      <w:r w:rsidRPr="00DF3523">
        <w:rPr>
          <w:b w:val="0"/>
          <w:lang w:val="en-GB"/>
        </w:rPr>
        <w:t xml:space="preserve"> we propose the following:</w:t>
      </w:r>
    </w:p>
    <w:p w14:paraId="27E89E9C" w14:textId="77777777" w:rsidR="00A61B71" w:rsidRPr="00A61B71" w:rsidRDefault="00DF3523">
      <w:pPr>
        <w:pStyle w:val="TOC1"/>
        <w:rPr>
          <w:rFonts w:asciiTheme="minorHAnsi" w:eastAsiaTheme="minorEastAsia" w:hAnsiTheme="minorHAnsi" w:cstheme="minorBidi"/>
          <w:b w:val="0"/>
          <w:sz w:val="22"/>
          <w:lang w:val="en-GB" w:eastAsia="fi-FI"/>
        </w:rPr>
      </w:pPr>
      <w:r>
        <w:rPr>
          <w:b w:val="0"/>
          <w:bCs/>
        </w:rPr>
        <w:fldChar w:fldCharType="begin"/>
      </w:r>
      <w:r w:rsidRPr="00DF3523">
        <w:rPr>
          <w:bCs/>
          <w:lang w:val="en-GB"/>
        </w:rPr>
        <w:instrText xml:space="preserve"> TOC \f \n \p " " \t "Proposal;1" </w:instrText>
      </w:r>
      <w:r>
        <w:rPr>
          <w:b w:val="0"/>
          <w:bCs/>
        </w:rPr>
        <w:fldChar w:fldCharType="separate"/>
      </w:r>
      <w:r w:rsidR="00A61B71" w:rsidRPr="00424E2E">
        <w:rPr>
          <w:lang w:val="en-GB"/>
        </w:rPr>
        <w:t>Proposal 1</w:t>
      </w:r>
      <w:r w:rsidR="00A61B71" w:rsidRPr="00A61B71">
        <w:rPr>
          <w:rFonts w:asciiTheme="minorHAnsi" w:eastAsiaTheme="minorEastAsia" w:hAnsiTheme="minorHAnsi" w:cstheme="minorBidi"/>
          <w:b w:val="0"/>
          <w:sz w:val="22"/>
          <w:lang w:val="en-GB" w:eastAsia="fi-FI"/>
        </w:rPr>
        <w:tab/>
      </w:r>
      <w:r w:rsidR="00A61B71" w:rsidRPr="00424E2E">
        <w:rPr>
          <w:lang w:val="en-GB"/>
        </w:rPr>
        <w:t>Independent measurement configuration Option 1 in email discussion, should be used as the framework for measurement configuration in case of LTE-NR tight interworking</w:t>
      </w:r>
    </w:p>
    <w:p w14:paraId="221988D6" w14:textId="77777777" w:rsidR="00A61B71" w:rsidRPr="00A61B71" w:rsidRDefault="00A61B71">
      <w:pPr>
        <w:pStyle w:val="TOC1"/>
        <w:rPr>
          <w:rFonts w:asciiTheme="minorHAnsi" w:eastAsiaTheme="minorEastAsia" w:hAnsiTheme="minorHAnsi" w:cstheme="minorBidi"/>
          <w:b w:val="0"/>
          <w:sz w:val="22"/>
          <w:lang w:val="en-GB" w:eastAsia="fi-FI"/>
        </w:rPr>
      </w:pPr>
      <w:r w:rsidRPr="00424E2E">
        <w:rPr>
          <w:lang w:val="en-GB"/>
        </w:rPr>
        <w:t>Proposal 2</w:t>
      </w:r>
      <w:r w:rsidRPr="00A61B71">
        <w:rPr>
          <w:rFonts w:asciiTheme="minorHAnsi" w:eastAsiaTheme="minorEastAsia" w:hAnsiTheme="minorHAnsi" w:cstheme="minorBidi"/>
          <w:b w:val="0"/>
          <w:sz w:val="22"/>
          <w:lang w:val="en-GB" w:eastAsia="fi-FI"/>
        </w:rPr>
        <w:tab/>
      </w:r>
      <w:r w:rsidRPr="00424E2E">
        <w:rPr>
          <w:lang w:val="en-GB"/>
        </w:rPr>
        <w:t>Common measurement object, RAT dependent ID, report configuration Option 2b in email discussion may need be further considered.</w:t>
      </w:r>
    </w:p>
    <w:p w14:paraId="66ED7466" w14:textId="686C904C" w:rsidR="008E065E" w:rsidRPr="00D96565" w:rsidRDefault="00DF3523" w:rsidP="00DF3523">
      <w:pPr>
        <w:rPr>
          <w:b/>
          <w:bCs/>
          <w:lang w:val="en-GB"/>
        </w:rPr>
      </w:pPr>
      <w:r>
        <w:rPr>
          <w:b/>
          <w:bCs/>
        </w:rPr>
        <w:fldChar w:fldCharType="end"/>
      </w:r>
    </w:p>
    <w:p w14:paraId="658CF580" w14:textId="77777777" w:rsidR="00F507D1" w:rsidRPr="00CE0424" w:rsidRDefault="00F507D1" w:rsidP="00CE0424">
      <w:pPr>
        <w:pStyle w:val="Heading1"/>
      </w:pPr>
      <w:bookmarkStart w:id="29" w:name="_In-sequence_SDU_delivery"/>
      <w:bookmarkEnd w:id="29"/>
      <w:r w:rsidRPr="00CE0424">
        <w:t>References</w:t>
      </w:r>
    </w:p>
    <w:p w14:paraId="1AA2D3EF" w14:textId="77777777" w:rsidR="003A7EF3" w:rsidRPr="00AF68E1" w:rsidRDefault="003A7EF3" w:rsidP="00CE0424">
      <w:pPr>
        <w:pStyle w:val="BodyText"/>
      </w:pPr>
    </w:p>
    <w:sectPr w:rsidR="003A7EF3" w:rsidRPr="00AF68E1">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332F4" w14:textId="77777777" w:rsidR="00D92A6D" w:rsidRDefault="00D92A6D">
      <w:r>
        <w:separator/>
      </w:r>
    </w:p>
  </w:endnote>
  <w:endnote w:type="continuationSeparator" w:id="0">
    <w:p w14:paraId="527A4182" w14:textId="77777777" w:rsidR="00D92A6D" w:rsidRDefault="00D92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eiryo"/>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72D42" w14:textId="3FEEBB2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61B7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61B71">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5E18C4" w14:textId="77777777" w:rsidR="00D92A6D" w:rsidRDefault="00D92A6D">
      <w:r>
        <w:separator/>
      </w:r>
    </w:p>
  </w:footnote>
  <w:footnote w:type="continuationSeparator" w:id="0">
    <w:p w14:paraId="4C03BE34" w14:textId="77777777" w:rsidR="00D92A6D" w:rsidRDefault="00D92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DC09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8"/>
    <w:lvlOverride w:ilvl="0">
      <w:startOverride w:val="1"/>
    </w:lvlOverride>
  </w:num>
  <w:num w:numId="17">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i-FI" w:vendorID="64" w:dllVersion="131078"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3A2"/>
    <w:rsid w:val="000006E1"/>
    <w:rsid w:val="00002A37"/>
    <w:rsid w:val="000039F4"/>
    <w:rsid w:val="00006446"/>
    <w:rsid w:val="00006896"/>
    <w:rsid w:val="00007CDC"/>
    <w:rsid w:val="00011B28"/>
    <w:rsid w:val="00011DAF"/>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9B1"/>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97FC6"/>
    <w:rsid w:val="001A1987"/>
    <w:rsid w:val="001A2564"/>
    <w:rsid w:val="001A6173"/>
    <w:rsid w:val="001A6CBA"/>
    <w:rsid w:val="001B0D97"/>
    <w:rsid w:val="001B5A5D"/>
    <w:rsid w:val="001C1CE5"/>
    <w:rsid w:val="001C2C5C"/>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27FF"/>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6AC8"/>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21B1"/>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10C1"/>
    <w:rsid w:val="004734D0"/>
    <w:rsid w:val="0047556B"/>
    <w:rsid w:val="00477768"/>
    <w:rsid w:val="00492BC5"/>
    <w:rsid w:val="004964F1"/>
    <w:rsid w:val="004A16BC"/>
    <w:rsid w:val="004A2B94"/>
    <w:rsid w:val="004B772B"/>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995"/>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4E30"/>
    <w:rsid w:val="005E4FE1"/>
    <w:rsid w:val="005E5B81"/>
    <w:rsid w:val="005F2CB1"/>
    <w:rsid w:val="005F3025"/>
    <w:rsid w:val="005F618C"/>
    <w:rsid w:val="005F70BD"/>
    <w:rsid w:val="0060283C"/>
    <w:rsid w:val="00604F14"/>
    <w:rsid w:val="00611B83"/>
    <w:rsid w:val="00613257"/>
    <w:rsid w:val="006136ED"/>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333E"/>
    <w:rsid w:val="00695FC2"/>
    <w:rsid w:val="00696949"/>
    <w:rsid w:val="00697052"/>
    <w:rsid w:val="006A00DC"/>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53EE"/>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398D"/>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3A86"/>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1A0"/>
    <w:rsid w:val="0096430A"/>
    <w:rsid w:val="0096554B"/>
    <w:rsid w:val="0096584A"/>
    <w:rsid w:val="00971F08"/>
    <w:rsid w:val="0097603D"/>
    <w:rsid w:val="00976949"/>
    <w:rsid w:val="00980477"/>
    <w:rsid w:val="00981606"/>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1B71"/>
    <w:rsid w:val="00A62A77"/>
    <w:rsid w:val="00A63483"/>
    <w:rsid w:val="00A657D7"/>
    <w:rsid w:val="00A660AC"/>
    <w:rsid w:val="00A66F55"/>
    <w:rsid w:val="00A67E6C"/>
    <w:rsid w:val="00A71B99"/>
    <w:rsid w:val="00A739D0"/>
    <w:rsid w:val="00A761D4"/>
    <w:rsid w:val="00A77EC4"/>
    <w:rsid w:val="00A92879"/>
    <w:rsid w:val="00A9442A"/>
    <w:rsid w:val="00A95D3C"/>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0236"/>
    <w:rsid w:val="00AF1C5D"/>
    <w:rsid w:val="00AF42D7"/>
    <w:rsid w:val="00AF68E1"/>
    <w:rsid w:val="00B006FE"/>
    <w:rsid w:val="00B007CB"/>
    <w:rsid w:val="00B02AA9"/>
    <w:rsid w:val="00B02FA3"/>
    <w:rsid w:val="00B05084"/>
    <w:rsid w:val="00B157F9"/>
    <w:rsid w:val="00B20256"/>
    <w:rsid w:val="00B20D09"/>
    <w:rsid w:val="00B253A2"/>
    <w:rsid w:val="00B2763F"/>
    <w:rsid w:val="00B27AAC"/>
    <w:rsid w:val="00B30929"/>
    <w:rsid w:val="00B372AA"/>
    <w:rsid w:val="00B40445"/>
    <w:rsid w:val="00B41888"/>
    <w:rsid w:val="00B44A4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5BA1"/>
    <w:rsid w:val="00C3719D"/>
    <w:rsid w:val="00C54995"/>
    <w:rsid w:val="00C54D41"/>
    <w:rsid w:val="00C60783"/>
    <w:rsid w:val="00C6211B"/>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0FA5"/>
    <w:rsid w:val="00D115C3"/>
    <w:rsid w:val="00D11897"/>
    <w:rsid w:val="00D13135"/>
    <w:rsid w:val="00D13E4E"/>
    <w:rsid w:val="00D239A7"/>
    <w:rsid w:val="00D23F47"/>
    <w:rsid w:val="00D36E71"/>
    <w:rsid w:val="00D37D87"/>
    <w:rsid w:val="00D40B33"/>
    <w:rsid w:val="00D4318F"/>
    <w:rsid w:val="00D438BF"/>
    <w:rsid w:val="00D440F8"/>
    <w:rsid w:val="00D44A11"/>
    <w:rsid w:val="00D50F97"/>
    <w:rsid w:val="00D546FF"/>
    <w:rsid w:val="00D55AD5"/>
    <w:rsid w:val="00D576CA"/>
    <w:rsid w:val="00D61AF5"/>
    <w:rsid w:val="00D64193"/>
    <w:rsid w:val="00D652B5"/>
    <w:rsid w:val="00D653A4"/>
    <w:rsid w:val="00D66155"/>
    <w:rsid w:val="00D708B0"/>
    <w:rsid w:val="00D77B1D"/>
    <w:rsid w:val="00D8021F"/>
    <w:rsid w:val="00D80383"/>
    <w:rsid w:val="00D80AE0"/>
    <w:rsid w:val="00D823C6"/>
    <w:rsid w:val="00D86CA3"/>
    <w:rsid w:val="00D871CE"/>
    <w:rsid w:val="00D9196D"/>
    <w:rsid w:val="00D92982"/>
    <w:rsid w:val="00D92A6D"/>
    <w:rsid w:val="00D96565"/>
    <w:rsid w:val="00DA305E"/>
    <w:rsid w:val="00DA5417"/>
    <w:rsid w:val="00DA56E8"/>
    <w:rsid w:val="00DB0A9F"/>
    <w:rsid w:val="00DB377D"/>
    <w:rsid w:val="00DC2D36"/>
    <w:rsid w:val="00DC53EF"/>
    <w:rsid w:val="00DE20EB"/>
    <w:rsid w:val="00DE5608"/>
    <w:rsid w:val="00DE58D0"/>
    <w:rsid w:val="00DE654F"/>
    <w:rsid w:val="00DF0B6E"/>
    <w:rsid w:val="00DF15E0"/>
    <w:rsid w:val="00DF3523"/>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1336"/>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5E237"/>
  <w15:docId w15:val="{F9B4B796-6D12-490E-82CC-7852E1EBF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61B71"/>
    <w:pPr>
      <w:spacing w:after="200" w:line="276" w:lineRule="auto"/>
    </w:pPr>
    <w:rPr>
      <w:rFonts w:asciiTheme="minorHAnsi" w:eastAsiaTheme="minorHAnsi" w:hAnsiTheme="minorHAnsi" w:cstheme="minorBidi"/>
      <w:sz w:val="22"/>
      <w:szCs w:val="22"/>
      <w:lang w:val="fi-FI"/>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A61B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1B71"/>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B2Char">
    <w:name w:val="B2 Char"/>
    <w:basedOn w:val="DefaultParagraphFont"/>
    <w:link w:val="B2"/>
    <w:rsid w:val="003E21B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5NUHHDQN7SK2-1-116910</_dlc_DocId>
    <_dlc_DocIdUrl xmlns="08b2df90-05d3-4030-90d4-c9feeb4a1cd9">
      <Url>https://ericoll.internal.ericsson.com/sites/STAR/_layouts/DocIdRedir.aspx?ID=5NUHHDQN7SK2-1-116910</Url>
      <Description>5NUHHDQN7SK2-1-116910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5318B309-9117-458A-A320-2DDE87485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5</Pages>
  <Words>879</Words>
  <Characters>7124</Characters>
  <Application>Microsoft Office Word</Application>
  <DocSecurity>0</DocSecurity>
  <Lines>59</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Rui Fan</dc:creator>
  <cp:keywords>Ericsson; TDoc; 3GPP</cp:keywords>
  <cp:lastModifiedBy>Ericsson</cp:lastModifiedBy>
  <cp:revision>22</cp:revision>
  <cp:lastPrinted>2008-01-31T16:09:00Z</cp:lastPrinted>
  <dcterms:created xsi:type="dcterms:W3CDTF">2017-04-25T05:49:00Z</dcterms:created>
  <dcterms:modified xsi:type="dcterms:W3CDTF">2017-05-05T22:24:00Z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49c90584-1157-4017-83fe-ce0692bd6a29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